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2D62F" w14:textId="77777777" w:rsidR="00785D1F" w:rsidRDefault="00000000">
      <w:pPr>
        <w:pStyle w:val="Tytu"/>
        <w:keepLines/>
      </w:pPr>
      <w:r>
        <w:t>Art. 3. Ciągłość wsparcia po ukończeniu 18 lat</w:t>
      </w:r>
    </w:p>
    <w:p w14:paraId="327FAAB5" w14:textId="77777777" w:rsidR="00785D1F" w:rsidRDefault="00000000">
      <w:pPr>
        <w:keepNext/>
        <w:keepLines/>
      </w:pPr>
      <w:r>
        <w:t>Poprawka do ustawy z dnia 18 września 2026 r. o asystencji osobistej osób z niepełnosprawnościami (druk senacki nr 832)</w:t>
      </w:r>
    </w:p>
    <w:p w14:paraId="66C4AF4D" w14:textId="77777777" w:rsidR="00785D1F" w:rsidRDefault="00000000">
      <w:pPr>
        <w:keepLines/>
        <w:jc w:val="both"/>
      </w:pPr>
      <w:r>
        <w:t>W art. 3 w ust. 5 wyrazy „6 miesięcy” zastępuje się wyrazami „12 miesięcy”.</w:t>
      </w:r>
    </w:p>
    <w:p w14:paraId="22861D1A" w14:textId="77777777" w:rsidR="00785D1F" w:rsidRDefault="00785D1F">
      <w:pPr>
        <w:keepNext/>
        <w:keepLines/>
        <w:spacing w:after="0"/>
      </w:pPr>
    </w:p>
    <w:p w14:paraId="0E173927" w14:textId="77777777" w:rsidR="00785D1F" w:rsidRDefault="00785D1F">
      <w:pPr>
        <w:keepNext/>
        <w:keepLines/>
        <w:spacing w:after="0"/>
      </w:pPr>
    </w:p>
    <w:p w14:paraId="2BF84451" w14:textId="77777777" w:rsidR="00785D1F" w:rsidRDefault="00000000">
      <w:pPr>
        <w:pStyle w:val="Nagwek2"/>
        <w:spacing w:before="0"/>
      </w:pPr>
      <w:r>
        <w:t>Uzasadnienie</w:t>
      </w:r>
    </w:p>
    <w:p w14:paraId="6E61A546" w14:textId="77777777" w:rsidR="00785D1F" w:rsidRDefault="00000000">
      <w:pPr>
        <w:keepNext/>
        <w:keepLines/>
      </w:pPr>
      <w:r>
        <w:t>Poprawka wydłuża z 6 do 12 miesięcy ochronę dotychczasowej asystencji po ukończeniu 18 lat, aby ograniczyć przerwy we wsparciu podczas przechodzenia na zasady dla dorosłych.</w:t>
      </w:r>
    </w:p>
    <w:p w14:paraId="330E6411" w14:textId="77777777" w:rsidR="00785D1F" w:rsidRDefault="00000000">
      <w:pPr>
        <w:pStyle w:val="Listanumerowana"/>
        <w:keepLines/>
        <w:numPr>
          <w:ilvl w:val="0"/>
          <w:numId w:val="6"/>
        </w:numPr>
        <w:spacing w:after="80"/>
      </w:pPr>
      <w:r>
        <w:t>Po ukończeniu 18 lat dalsze wsparcie na zasadach dla dorosłych wymaga m.in. uzyskania decyzji ustalającej poziom potrzeby wsparcia. Obecny przepis daje 6 miesięcy na złożenie wniosku o asystencję z zachowaniem dotychczasowej ochrony.</w:t>
      </w:r>
    </w:p>
    <w:p w14:paraId="4A21C0E8" w14:textId="77777777" w:rsidR="00785D1F" w:rsidRDefault="00000000">
      <w:pPr>
        <w:pStyle w:val="Listanumerowana"/>
        <w:keepLines/>
        <w:numPr>
          <w:ilvl w:val="0"/>
          <w:numId w:val="6"/>
        </w:numPr>
        <w:spacing w:after="80"/>
      </w:pPr>
      <w:r>
        <w:t>Dodatkowe 6 miesięcy daje więcej czasu na dopełnienie obu procedur. Celem poprawki jest zachowanie pomocy potrzebnej do nauki, podjęcia pracy i codziennych czynności w okresie przechodzenia na nowe zasady.</w:t>
      </w:r>
    </w:p>
    <w:p w14:paraId="0BF2713B" w14:textId="77777777" w:rsidR="00785D1F" w:rsidRDefault="00000000">
      <w:pPr>
        <w:pStyle w:val="Listanumerowana"/>
        <w:keepLines/>
        <w:numPr>
          <w:ilvl w:val="0"/>
          <w:numId w:val="6"/>
        </w:numPr>
        <w:spacing w:after="80"/>
      </w:pPr>
      <w:r>
        <w:t>Wniosek złożony w ciągu 12 miesięcy pozwala zachować dotychczasową liczbę godzin do wydania ostatecznej decyzji przyznającej albo odmawiającej prawa, także po upływie tych 12 miesięcy.</w:t>
      </w:r>
    </w:p>
    <w:p w14:paraId="6EEE9BF4" w14:textId="77777777" w:rsidR="00785D1F" w:rsidRDefault="00000000">
      <w:pPr>
        <w:pStyle w:val="Tytu"/>
        <w:keepLines/>
        <w:pageBreakBefore/>
      </w:pPr>
      <w:r>
        <w:lastRenderedPageBreak/>
        <w:t>Art. 7. Wymagania dla systemu ZUS i udział praktyków</w:t>
      </w:r>
    </w:p>
    <w:p w14:paraId="52E1D055" w14:textId="77777777" w:rsidR="00785D1F" w:rsidRDefault="00000000">
      <w:pPr>
        <w:keepNext/>
        <w:keepLines/>
      </w:pPr>
      <w:r>
        <w:t>Poprawka do ustawy z dnia 18 września 2026 r. o asystencji osobistej osób z niepełnosprawnościami (druk senacki nr 832)</w:t>
      </w:r>
    </w:p>
    <w:p w14:paraId="3C022DE9" w14:textId="77777777" w:rsidR="00785D1F" w:rsidRDefault="00000000">
      <w:pPr>
        <w:keepNext/>
        <w:keepLines/>
        <w:jc w:val="both"/>
      </w:pPr>
      <w:r>
        <w:t>W art. 7:</w:t>
      </w:r>
    </w:p>
    <w:p w14:paraId="3AA8261A" w14:textId="77777777" w:rsidR="00785D1F" w:rsidRDefault="00000000">
      <w:pPr>
        <w:keepNext/>
        <w:keepLines/>
        <w:jc w:val="both"/>
      </w:pPr>
      <w:r>
        <w:t>1) w ust. 1 dodaje się zdanie drugie w brzmieniu:</w:t>
      </w:r>
    </w:p>
    <w:p w14:paraId="5FCA80D8" w14:textId="5B4E261A" w:rsidR="00785D1F" w:rsidRDefault="00000000">
      <w:pPr>
        <w:keepLines/>
        <w:jc w:val="both"/>
      </w:pPr>
      <w:r>
        <w:t>„Zapewnia udział zróżnicowanego grona osób korzystających z asystencji osobistej, osób stale wspierających, osób świadczących asystencję osobistą oraz przedstawicieli podmiotów ją realizujących i powiatów w projektowaniu i bieżącym testowaniu tego systemu.”;</w:t>
      </w:r>
    </w:p>
    <w:p w14:paraId="76BDD0A8" w14:textId="77777777" w:rsidR="00785D1F" w:rsidRDefault="00000000">
      <w:pPr>
        <w:keepNext/>
        <w:keepLines/>
        <w:jc w:val="both"/>
      </w:pPr>
      <w:r>
        <w:t>2) po ust. 1 dodaje się ust. 1a w brzmieniu:</w:t>
      </w:r>
    </w:p>
    <w:p w14:paraId="2F320471" w14:textId="160D241A" w:rsidR="00785D1F" w:rsidRDefault="00000000" w:rsidP="00E735E2">
      <w:pPr>
        <w:keepLines/>
        <w:jc w:val="both"/>
      </w:pPr>
      <w:r>
        <w:t>„1a. Minister właściwy do spraw zabezpieczenia społecznego określa wymagania funkcjonalne systemu, o którym mowa w ust. 1, w zakresie obsługi czynności przewidzianych w ustawie, a Zakład Ubezpieczeń Społecznych zapewnia ich spełnienie. Pierwszą wersję wymagań minister przekazuje Zakładowi Ubezpieczeń Społecznych w terminie 7 dni od dnia wejścia w życie ustawy.”.</w:t>
      </w:r>
    </w:p>
    <w:p w14:paraId="2CE13EFD" w14:textId="77777777" w:rsidR="00785D1F" w:rsidRDefault="00785D1F">
      <w:pPr>
        <w:keepNext/>
        <w:keepLines/>
        <w:spacing w:after="0"/>
      </w:pPr>
    </w:p>
    <w:p w14:paraId="583A44E1" w14:textId="77777777" w:rsidR="00785D1F" w:rsidRDefault="00000000">
      <w:pPr>
        <w:pStyle w:val="Nagwek2"/>
        <w:spacing w:before="0"/>
      </w:pPr>
      <w:r>
        <w:t>Uzasadnienie</w:t>
      </w:r>
    </w:p>
    <w:p w14:paraId="4E7144D4" w14:textId="77777777" w:rsidR="00785D1F" w:rsidRDefault="00000000">
      <w:pPr>
        <w:keepNext/>
        <w:keepLines/>
      </w:pPr>
      <w:r>
        <w:t>Poprawka zapewnia udział zróżnicowanego grona praktyków, także dotychczasowych programów, w określaniu wymagań, projektowaniu i bieżącym testowaniu systemu.</w:t>
      </w:r>
    </w:p>
    <w:p w14:paraId="6A6A51BA" w14:textId="77777777" w:rsidR="00785D1F" w:rsidRDefault="00000000">
      <w:pPr>
        <w:pStyle w:val="Listanumerowana"/>
        <w:keepLines/>
        <w:numPr>
          <w:ilvl w:val="0"/>
          <w:numId w:val="7"/>
        </w:numPr>
        <w:spacing w:after="80"/>
      </w:pPr>
      <w:r>
        <w:t>Dobór uczestników powinien uwzględniać rodzaje niepełnosprawności, potrzeby wsparcia, wiek, kompetencje cyfrowe i organizację asystencji.</w:t>
      </w:r>
    </w:p>
    <w:p w14:paraId="0BCE4F2D" w14:textId="77777777" w:rsidR="00785D1F" w:rsidRDefault="00000000">
      <w:pPr>
        <w:pStyle w:val="Listanumerowana"/>
        <w:keepLines/>
        <w:numPr>
          <w:ilvl w:val="0"/>
          <w:numId w:val="7"/>
        </w:numPr>
        <w:spacing w:after="80"/>
      </w:pPr>
      <w:r>
        <w:t>Minister określa wymagania funkcjonalne służące wykonywaniu ustawy, bez tworzenia nowych uprawnień i obowiązków użytkowników. ZUS odpowiada za specyfikację techniczną i spełnienie wymagań.</w:t>
      </w:r>
    </w:p>
    <w:p w14:paraId="04C01578" w14:textId="77777777" w:rsidR="00785D1F" w:rsidRDefault="00000000">
      <w:pPr>
        <w:pStyle w:val="Listanumerowana"/>
        <w:keepLines/>
        <w:numPr>
          <w:ilvl w:val="0"/>
          <w:numId w:val="7"/>
        </w:numPr>
        <w:spacing w:after="80"/>
      </w:pPr>
      <w:r>
        <w:t>Termin 7 dni dotyczy pierwszej wersji wymagań, którą można później uzupełniać. Krótki termin oraz możliwość równoległych prac ZUS mają zapobiec opóźnieniu tworzenia systemu. Przepis nie uzależnia ich rozpoczęcia od przekazania wymagań i nie wymaga rozporządzenia ani szczegółowej specyfikacji technicznej ministerstwa. Wymagania można przygotowywać przed wejściem w życie ustawy.</w:t>
      </w:r>
    </w:p>
    <w:p w14:paraId="58043ED6" w14:textId="77777777" w:rsidR="00785D1F" w:rsidRDefault="00000000">
      <w:pPr>
        <w:pStyle w:val="Listanumerowana"/>
        <w:keepLines/>
        <w:numPr>
          <w:ilvl w:val="0"/>
          <w:numId w:val="7"/>
        </w:numPr>
        <w:spacing w:after="80"/>
      </w:pPr>
      <w:r>
        <w:t>Obie zmiany wchodzą w życie po upływie 14 dni od ogłoszenia ustawy (art. 131).</w:t>
      </w:r>
    </w:p>
    <w:p w14:paraId="1AB526C0" w14:textId="37F38C0E" w:rsidR="00E735E2" w:rsidRDefault="00E735E2">
      <w:pPr>
        <w:pStyle w:val="Listanumerowana"/>
        <w:keepLines/>
        <w:numPr>
          <w:ilvl w:val="0"/>
          <w:numId w:val="7"/>
        </w:numPr>
        <w:spacing w:after="80"/>
      </w:pPr>
      <w:r>
        <w:t xml:space="preserve">Poprawka stanowi bardziej konserwatywną wersję poprawki przekazanej i wydrukowanej na posiedzenie sejmowej komisji </w:t>
      </w:r>
      <w:r>
        <w:t>polityki społecznej i rodziny</w:t>
      </w:r>
      <w:r>
        <w:t xml:space="preserve">. </w:t>
      </w:r>
    </w:p>
    <w:p w14:paraId="35EB71F5" w14:textId="77777777" w:rsidR="00785D1F" w:rsidRDefault="00000000">
      <w:pPr>
        <w:pStyle w:val="Tytu"/>
        <w:keepLines/>
        <w:pageBreakBefore/>
      </w:pPr>
      <w:r>
        <w:lastRenderedPageBreak/>
        <w:t>Art. 21. Przenoszenie niewykorzystanych godzin</w:t>
      </w:r>
    </w:p>
    <w:p w14:paraId="247F9228" w14:textId="77777777" w:rsidR="00785D1F" w:rsidRDefault="00000000">
      <w:pPr>
        <w:keepNext/>
        <w:keepLines/>
      </w:pPr>
      <w:r>
        <w:t>Poprawka do ustawy z dnia 18 września 2026 r. o asystencji osobistej osób z niepełnosprawnościami (druk senacki nr 832)</w:t>
      </w:r>
    </w:p>
    <w:p w14:paraId="4D16CD51" w14:textId="77777777" w:rsidR="00785D1F" w:rsidRDefault="00000000">
      <w:pPr>
        <w:keepNext/>
        <w:keepLines/>
        <w:jc w:val="both"/>
      </w:pPr>
      <w:r>
        <w:t>W art. 21:</w:t>
      </w:r>
    </w:p>
    <w:p w14:paraId="7ECF6C85" w14:textId="77777777" w:rsidR="00785D1F" w:rsidRDefault="00000000">
      <w:pPr>
        <w:keepLines/>
        <w:jc w:val="both"/>
      </w:pPr>
      <w:r>
        <w:t>1) ust. 2 otrzymuje brzmienie:</w:t>
      </w:r>
    </w:p>
    <w:p w14:paraId="7683312F" w14:textId="77777777" w:rsidR="00785D1F" w:rsidRDefault="00000000">
      <w:pPr>
        <w:keepLines/>
        <w:jc w:val="both"/>
      </w:pPr>
      <w:r>
        <w:t>„2. Godziny asystencji osobistej niewykorzystane w danym miesiącu mogą zostać wykorzystane w kolejnych miesiącach, nie później niż do dnia 31 grudnia tego samego roku kalendarzowego.”;</w:t>
      </w:r>
    </w:p>
    <w:p w14:paraId="2202D67B" w14:textId="77777777" w:rsidR="00785D1F" w:rsidRDefault="00000000">
      <w:pPr>
        <w:keepNext/>
        <w:keepLines/>
        <w:jc w:val="both"/>
      </w:pPr>
      <w:r>
        <w:t>2) dodaje się ust. 3 w brzmieniu:</w:t>
      </w:r>
    </w:p>
    <w:p w14:paraId="61EAF0A4" w14:textId="77777777" w:rsidR="00785D1F" w:rsidRDefault="00000000">
      <w:pPr>
        <w:keepLines/>
        <w:jc w:val="both"/>
      </w:pPr>
      <w:r>
        <w:t>„3. Łączna liczba niewykorzystanych godzin asystencji osobistej pozostających do wykorzystania w kolejnych miesiącach nie może przekroczyć dwukrotności miesięcznego wymiaru godzinowego asystencji osobistej określonego w decyzji przyznającej prawo do asystencji osobistej.”.</w:t>
      </w:r>
    </w:p>
    <w:p w14:paraId="0D1EBA1E" w14:textId="77777777" w:rsidR="00785D1F" w:rsidRDefault="00785D1F">
      <w:pPr>
        <w:keepNext/>
        <w:keepLines/>
        <w:spacing w:after="0"/>
      </w:pPr>
    </w:p>
    <w:p w14:paraId="6ED6D202" w14:textId="77777777" w:rsidR="00785D1F" w:rsidRDefault="00785D1F">
      <w:pPr>
        <w:keepNext/>
        <w:keepLines/>
        <w:spacing w:after="0"/>
      </w:pPr>
    </w:p>
    <w:p w14:paraId="42439102" w14:textId="77777777" w:rsidR="00785D1F" w:rsidRDefault="00000000">
      <w:pPr>
        <w:pStyle w:val="Nagwek2"/>
        <w:spacing w:before="0"/>
      </w:pPr>
      <w:r>
        <w:t>Uzasadnienie</w:t>
      </w:r>
    </w:p>
    <w:p w14:paraId="351EE45A" w14:textId="77777777" w:rsidR="00785D1F" w:rsidRDefault="00000000">
      <w:pPr>
        <w:keepNext/>
        <w:keepLines/>
      </w:pPr>
      <w:r>
        <w:t>Poprawka pozwala przenosić niewykorzystane godziny na kolejne miesiące tego samego roku, do łącznego limitu równego dwukrotności miesięcznej liczby godzin przyznanych w decyzji.</w:t>
      </w:r>
    </w:p>
    <w:p w14:paraId="7D2B1660" w14:textId="77777777" w:rsidR="00785D1F" w:rsidRDefault="00000000">
      <w:pPr>
        <w:pStyle w:val="Listanumerowana"/>
        <w:keepLines/>
        <w:numPr>
          <w:ilvl w:val="0"/>
          <w:numId w:val="8"/>
        </w:numPr>
        <w:spacing w:after="80"/>
      </w:pPr>
      <w:r>
        <w:t>Obecnie niewykorzystane godziny można wykorzystać tylko w następnym miesiącu, do 50% miesięcznej liczby godzin i nie więcej niż 100 godzin. Dłuższa przerwa może uniemożliwić ich późniejsze wykorzystanie.</w:t>
      </w:r>
    </w:p>
    <w:p w14:paraId="79065E3A" w14:textId="77777777" w:rsidR="00785D1F" w:rsidRDefault="00000000">
      <w:pPr>
        <w:pStyle w:val="Listanumerowana"/>
        <w:keepLines/>
        <w:numPr>
          <w:ilvl w:val="0"/>
          <w:numId w:val="8"/>
        </w:numPr>
        <w:spacing w:after="80"/>
      </w:pPr>
      <w:r>
        <w:t>Celem poprawki jest dostosowanie wykorzystania godzin do rzeczywistych potrzeb. Po przerwie spowodowanej chorobą lub brakiem asystenta zachowane godziny będzie można wykorzystać później, np. na wizyty, naukę lub codzienne obowiązki.</w:t>
      </w:r>
    </w:p>
    <w:p w14:paraId="0459D2EE" w14:textId="77777777" w:rsidR="00785D1F" w:rsidRDefault="00000000">
      <w:pPr>
        <w:pStyle w:val="Listanumerowana"/>
        <w:keepLines/>
        <w:numPr>
          <w:ilvl w:val="0"/>
          <w:numId w:val="8"/>
        </w:numPr>
        <w:spacing w:after="80"/>
      </w:pPr>
      <w:r>
        <w:t>Limit obejmuje wszystkie godziny przeniesione z poprzednich miesięcy łącznie. Przy 20 godzinach miesięcznie można zachować do 40 godzin z poprzednich miesięcy, oprócz 20 godzin na bieżący miesiąc.</w:t>
      </w:r>
    </w:p>
    <w:p w14:paraId="04FDB1AE" w14:textId="77777777" w:rsidR="00785D1F" w:rsidRDefault="00000000">
      <w:pPr>
        <w:pStyle w:val="Listanumerowana"/>
        <w:keepLines/>
        <w:numPr>
          <w:ilvl w:val="0"/>
          <w:numId w:val="8"/>
        </w:numPr>
        <w:spacing w:after="80"/>
      </w:pPr>
      <w:r>
        <w:t>Poprawka nie zwiększa liczby godzin przyznanych w decyzji. Zachowane godziny trzeba wykorzystać do 31 grudnia tego samego roku; nie przechodzą na kolejny rok.</w:t>
      </w:r>
    </w:p>
    <w:p w14:paraId="1396230D" w14:textId="77777777" w:rsidR="00785D1F" w:rsidRDefault="00000000">
      <w:pPr>
        <w:pStyle w:val="Tytu"/>
        <w:keepLines/>
        <w:pageBreakBefore/>
      </w:pPr>
      <w:r>
        <w:lastRenderedPageBreak/>
        <w:t>Art. 27. Uznanie doświadczenia wspierania nie tylko domowników</w:t>
      </w:r>
    </w:p>
    <w:p w14:paraId="01CB5E1A" w14:textId="77777777" w:rsidR="00785D1F" w:rsidRDefault="00000000">
      <w:pPr>
        <w:keepNext/>
        <w:keepLines/>
      </w:pPr>
      <w:r>
        <w:t>Poprawka do ustawy z dnia 18 września 2026 r. o asystencji osobistej osób z niepełnosprawnościami (druk senacki nr 832)</w:t>
      </w:r>
    </w:p>
    <w:p w14:paraId="71E5BDA5" w14:textId="77777777" w:rsidR="00785D1F" w:rsidRDefault="00000000">
      <w:pPr>
        <w:keepLines/>
        <w:jc w:val="both"/>
      </w:pPr>
      <w:r>
        <w:t>W art. 27 w pkt 6 w lit. c skreśla się wyrazy „będącej członkiem rodziny w rozumieniu art. 6 pkt 14 ustawy z dnia 12 marca 2004 r. o pomocy społecznej (Dz. U. z 2026 r. poz. 639, 974 i 986)”.</w:t>
      </w:r>
    </w:p>
    <w:p w14:paraId="15A9579C" w14:textId="77777777" w:rsidR="00785D1F" w:rsidRDefault="00785D1F">
      <w:pPr>
        <w:keepNext/>
        <w:keepLines/>
        <w:spacing w:after="0"/>
      </w:pPr>
    </w:p>
    <w:p w14:paraId="1C92BF09" w14:textId="77777777" w:rsidR="00785D1F" w:rsidRDefault="00785D1F">
      <w:pPr>
        <w:keepNext/>
        <w:keepLines/>
        <w:spacing w:after="0"/>
      </w:pPr>
    </w:p>
    <w:p w14:paraId="44B77B0F" w14:textId="77777777" w:rsidR="00785D1F" w:rsidRDefault="00000000">
      <w:pPr>
        <w:pStyle w:val="Nagwek2"/>
        <w:spacing w:before="0"/>
      </w:pPr>
      <w:r>
        <w:t>Uzasadnienie</w:t>
      </w:r>
    </w:p>
    <w:p w14:paraId="4DF8D088" w14:textId="77777777" w:rsidR="00785D1F" w:rsidRDefault="00000000">
      <w:pPr>
        <w:keepNext/>
        <w:keepLines/>
      </w:pPr>
      <w:r>
        <w:t>Poprawka umożliwia uznanie potwierdzonego doświadczenia we wspieraniu osoby z niepełnosprawnością także wtedy, gdy kandydat nie prowadzi z nią wspólnego gospodarstwa domowego.</w:t>
      </w:r>
    </w:p>
    <w:p w14:paraId="5D64C254" w14:textId="77777777" w:rsidR="00785D1F" w:rsidRDefault="00000000">
      <w:pPr>
        <w:pStyle w:val="Listanumerowana"/>
        <w:keepLines/>
        <w:numPr>
          <w:ilvl w:val="0"/>
          <w:numId w:val="9"/>
        </w:numPr>
        <w:spacing w:after="80"/>
      </w:pPr>
      <w:r>
        <w:t>Obecne brzmienie art. 27 pkt 6 lit. c nie pozwala uwzględnić pomocy udzielanej bez umowy rodzicowi lub dziadkowi mieszkającemu osobno, nawet przy wymaganej liczbie godzin i zaświadczeniu. Wynika to z definicji rodziny wymagającej wspólnego zamieszkiwania i gospodarowania.</w:t>
      </w:r>
    </w:p>
    <w:p w14:paraId="7D7FF0F2" w14:textId="77777777" w:rsidR="00785D1F" w:rsidRDefault="00000000">
      <w:pPr>
        <w:pStyle w:val="Listanumerowana"/>
        <w:keepLines/>
        <w:numPr>
          <w:ilvl w:val="0"/>
          <w:numId w:val="9"/>
        </w:numPr>
        <w:spacing w:after="80"/>
      </w:pPr>
      <w:r>
        <w:t>Celem poprawki jest zwiększenie dostępności asystentów przez uznanie praktyki zdobytej także podczas wspierania rodzica mieszkającego osobno, sąsiada lub znajomego.</w:t>
      </w:r>
    </w:p>
    <w:p w14:paraId="304B6B5A" w14:textId="77777777" w:rsidR="00785D1F" w:rsidRDefault="00000000">
      <w:pPr>
        <w:pStyle w:val="Listanumerowana"/>
        <w:keepLines/>
        <w:numPr>
          <w:ilvl w:val="0"/>
          <w:numId w:val="9"/>
        </w:numPr>
        <w:spacing w:after="80"/>
      </w:pPr>
      <w:r>
        <w:t>To samo wsparcie powinno mieć takie samo znaczenie przy ocenie doświadczenia kandydata, niezależnie od wspólnego zamieszkiwania. Usunięcie tego ograniczenia pozwala uwzględnić osoby z rzeczywistą, potwierdzoną praktyką.</w:t>
      </w:r>
    </w:p>
    <w:p w14:paraId="586223DA" w14:textId="77777777" w:rsidR="00785D1F" w:rsidRDefault="00000000">
      <w:pPr>
        <w:pStyle w:val="Listanumerowana"/>
        <w:keepLines/>
        <w:numPr>
          <w:ilvl w:val="0"/>
          <w:numId w:val="9"/>
        </w:numPr>
        <w:spacing w:after="80"/>
      </w:pPr>
      <w:r>
        <w:t>Nadal wymagane są co najmniej 120 godzin wsparcia w ciągu 5 lat przed wnioskiem o wpis oraz dokument od podmiotu posiadającego wiedzę o tym wsparciu, np. ośrodka pomocy społecznej. Samo oświadczenie kandydata nie wystarcza.</w:t>
      </w:r>
    </w:p>
    <w:p w14:paraId="480638F6" w14:textId="77777777" w:rsidR="00785D1F" w:rsidRDefault="00000000">
      <w:pPr>
        <w:pStyle w:val="Listanumerowana"/>
        <w:keepLines/>
        <w:numPr>
          <w:ilvl w:val="0"/>
          <w:numId w:val="9"/>
        </w:numPr>
        <w:spacing w:after="80"/>
      </w:pPr>
      <w:r>
        <w:t>Doświadczenie zdobyte przy wspieraniu własnego rodzica można wykorzystać do pracy na rzecz innej osoby. Zakaz zostania asystentem własnego rodzica oraz pozostałe wymagania ustawy, w tym szkolenia i instruktaże, pozostają bez zmian.</w:t>
      </w:r>
    </w:p>
    <w:p w14:paraId="31C41C3F" w14:textId="77777777" w:rsidR="00785D1F" w:rsidRDefault="00000000">
      <w:pPr>
        <w:pStyle w:val="Tytu"/>
        <w:keepLines/>
        <w:pageBreakBefore/>
      </w:pPr>
      <w:r>
        <w:lastRenderedPageBreak/>
        <w:t>Art. 126. Okres przejściowy dla kwalifikacji asystentów</w:t>
      </w:r>
    </w:p>
    <w:p w14:paraId="4B7C5F6C" w14:textId="77777777" w:rsidR="00785D1F" w:rsidRDefault="00000000" w:rsidP="00E735E2">
      <w:pPr>
        <w:keepNext/>
        <w:keepLines/>
      </w:pPr>
      <w:r>
        <w:t>Poprawka do ustawy z dnia 18 września 2026 r. o asystencji osobistej osób z niepełnosprawnościami (druk senacki nr 832)</w:t>
      </w:r>
    </w:p>
    <w:p w14:paraId="7D659776" w14:textId="77777777" w:rsidR="00785D1F" w:rsidRDefault="00000000" w:rsidP="00E735E2">
      <w:pPr>
        <w:keepNext/>
        <w:keepLines/>
        <w:spacing w:after="40"/>
        <w:jc w:val="both"/>
      </w:pPr>
      <w:r>
        <w:t>W art. 126 dotychczasową treść oznacza się jako ust. 1 i dodaje się ust. 2–5 w brzmieniu:</w:t>
      </w:r>
    </w:p>
    <w:p w14:paraId="3D7072EB" w14:textId="77777777" w:rsidR="00785D1F" w:rsidRDefault="00000000" w:rsidP="00E735E2">
      <w:pPr>
        <w:keepLines/>
        <w:spacing w:after="40"/>
        <w:jc w:val="both"/>
      </w:pPr>
      <w:r>
        <w:t>„2. Do dnia 31 grudnia 2029 r. za spełniającą warunek, o którym mowa w art. 27 pkt 6, uznaje się także osobę, która spełnia warunki, o których mowa w art. 27 pkt 1–5, i nie spełnia warunku, o którym mowa w art. 27 pkt 6. Osoba ubiegająca się o wpis do Rejestru asystentów z zastosowaniem tego odstępstwa zamieszcza we wniosku, zamiast informacji, o których mowa w art. 34 ust. 2 pkt 10, informację o korzystaniu z tego odstępstwa i nie dołącza dokumentów, o których mowa w art. 34 ust. 4.</w:t>
      </w:r>
    </w:p>
    <w:p w14:paraId="1DF56E53" w14:textId="77777777" w:rsidR="00785D1F" w:rsidRDefault="00000000" w:rsidP="00E735E2">
      <w:pPr>
        <w:keepLines/>
        <w:spacing w:after="40"/>
        <w:jc w:val="both"/>
      </w:pPr>
      <w:r>
        <w:t>3. W przypadku wpisania do Rejestru asystentów osoby z zastosowaniem ust. 2 wojewoda zamieszcza w Rejestrze asystentów informację, że wpisu dokonano z zastosowaniem odstępstwa od warunku, o którym mowa w art. 27 pkt 6. Informację tę udostępnia się osobie uprawnionej do asystencji osobistej, użytkownikowi i realizatorowi.</w:t>
      </w:r>
    </w:p>
    <w:p w14:paraId="6B962E88" w14:textId="77777777" w:rsidR="00785D1F" w:rsidRDefault="00000000" w:rsidP="00E735E2">
      <w:pPr>
        <w:keepLines/>
        <w:spacing w:after="40"/>
        <w:jc w:val="both"/>
      </w:pPr>
      <w:r>
        <w:t>4. Osoba korzystająca z odstępstwa, o którym mowa w ust. 2, może zostać wybrana na asystenta osobistego wyłącznie w trybie określonym w art. 86 ust. 1 pkt 1. Realizator nie przedstawia kandydatury tej osoby osobie uprawnionej do asystencji osobistej ani użytkownikowi.</w:t>
      </w:r>
    </w:p>
    <w:p w14:paraId="7B840313" w14:textId="77777777" w:rsidR="00785D1F" w:rsidRDefault="00000000" w:rsidP="00E735E2">
      <w:pPr>
        <w:keepLines/>
        <w:spacing w:after="40"/>
        <w:jc w:val="both"/>
      </w:pPr>
      <w:r>
        <w:t>5. Osoby korzystającej z odstępstwa, o którym mowa w ust. 2, nie uwzględnia się przy ocenie spełnienia warunku, o którym mowa w art. 59 ust. 2 pkt 5 lit. a.”.</w:t>
      </w:r>
    </w:p>
    <w:p w14:paraId="1276F0DB" w14:textId="77777777" w:rsidR="00785D1F" w:rsidRDefault="00785D1F" w:rsidP="00E735E2">
      <w:pPr>
        <w:keepNext/>
        <w:keepLines/>
        <w:spacing w:after="0"/>
      </w:pPr>
    </w:p>
    <w:p w14:paraId="7802CC42" w14:textId="77777777" w:rsidR="00785D1F" w:rsidRDefault="00785D1F" w:rsidP="00E735E2">
      <w:pPr>
        <w:keepNext/>
        <w:keepLines/>
        <w:spacing w:after="0"/>
      </w:pPr>
    </w:p>
    <w:p w14:paraId="1E6303DA" w14:textId="77777777" w:rsidR="00785D1F" w:rsidRDefault="00000000" w:rsidP="00E735E2">
      <w:pPr>
        <w:pStyle w:val="Nagwek2"/>
        <w:spacing w:before="0"/>
      </w:pPr>
      <w:r>
        <w:t>Uzasadnienie</w:t>
      </w:r>
    </w:p>
    <w:p w14:paraId="5797900B" w14:textId="77777777" w:rsidR="00785D1F" w:rsidRDefault="00000000" w:rsidP="00E735E2">
      <w:pPr>
        <w:keepNext/>
        <w:keepLines/>
        <w:spacing w:after="0"/>
      </w:pPr>
      <w:r>
        <w:t>Poprawka umożliwia do 31 grudnia 2029 r. samodzielny wybór zaufanego asystenta bez kwalifikacji lub doświadczenia wymaganych przez ustawę, aby ułatwić rozpoczęcie przyznanego wsparcia.</w:t>
      </w:r>
    </w:p>
    <w:p w14:paraId="6C7DEBA2" w14:textId="77777777" w:rsidR="00785D1F" w:rsidRDefault="00000000" w:rsidP="00E735E2">
      <w:pPr>
        <w:pStyle w:val="Listanumerowana"/>
        <w:keepLines/>
        <w:numPr>
          <w:ilvl w:val="0"/>
          <w:numId w:val="10"/>
        </w:numPr>
        <w:spacing w:after="0"/>
        <w:contextualSpacing w:val="0"/>
      </w:pPr>
      <w:r>
        <w:t>Obecny wyjątek obejmuje tylko osoby kształcące się w zawodach wskazanych w ustawie. Nie obejmuje innych zaufanych kandydatów, którym brakuje wymaganych kwalifikacji lub odpowiednio udokumentowanego doświadczenia.</w:t>
      </w:r>
    </w:p>
    <w:p w14:paraId="35C5866F" w14:textId="77777777" w:rsidR="00785D1F" w:rsidRDefault="00000000" w:rsidP="00E735E2">
      <w:pPr>
        <w:pStyle w:val="Listanumerowana"/>
        <w:keepLines/>
        <w:numPr>
          <w:ilvl w:val="0"/>
          <w:numId w:val="10"/>
        </w:numPr>
        <w:spacing w:after="0"/>
        <w:contextualSpacing w:val="0"/>
      </w:pPr>
      <w:r>
        <w:t>Celem poprawki jest ograniczenie ryzyka, że brak asystenta uniemożliwi korzystanie z przyznanego wsparcia. Dopuszczenie zaufanych kandydatów ułatwia rozpoczęcie asystencji w pierwszych latach działania ustawy.</w:t>
      </w:r>
    </w:p>
    <w:p w14:paraId="75C32F68" w14:textId="77777777" w:rsidR="00785D1F" w:rsidRDefault="00000000" w:rsidP="00E735E2">
      <w:pPr>
        <w:pStyle w:val="Listanumerowana"/>
        <w:keepLines/>
        <w:numPr>
          <w:ilvl w:val="0"/>
          <w:numId w:val="10"/>
        </w:numPr>
        <w:spacing w:after="0"/>
        <w:contextualSpacing w:val="0"/>
      </w:pPr>
      <w:r>
        <w:t>Do 31 grudnia 2029 r. kandydat spełniający pozostałe warunki będzie mógł uzyskać wpis bez dokumentów kwalifikacji lub doświadczenia. We wniosku wskazuje korzystanie z wyjątku, a wojewoda odnotowuje podstawę wpisu w rejestrze.</w:t>
      </w:r>
    </w:p>
    <w:p w14:paraId="5BFE95E0" w14:textId="77777777" w:rsidR="00785D1F" w:rsidRDefault="00000000" w:rsidP="00E735E2">
      <w:pPr>
        <w:pStyle w:val="Listanumerowana"/>
        <w:keepLines/>
        <w:numPr>
          <w:ilvl w:val="0"/>
          <w:numId w:val="10"/>
        </w:numPr>
        <w:spacing w:after="0"/>
        <w:contextualSpacing w:val="0"/>
      </w:pPr>
      <w:r>
        <w:lastRenderedPageBreak/>
        <w:t>Asystenta korzystającego z nowego wyjątku wybiera samodzielnie osoba uprawniona. Realizator usług nie może proponować takiej osoby, a dostępna informacja o podstawie wpisu umożliwia świadomy wybór.</w:t>
      </w:r>
    </w:p>
    <w:p w14:paraId="50C89E32" w14:textId="77777777" w:rsidR="00785D1F" w:rsidRDefault="00000000" w:rsidP="00E735E2">
      <w:pPr>
        <w:pStyle w:val="Listanumerowana"/>
        <w:keepLines/>
        <w:numPr>
          <w:ilvl w:val="0"/>
          <w:numId w:val="10"/>
        </w:numPr>
        <w:spacing w:after="0"/>
        <w:contextualSpacing w:val="0"/>
      </w:pPr>
      <w:r>
        <w:t>Pozostają pełnoletność, ustawowe wymogi niekaralności oraz wymagane szkolenia i instruktaże przed rozpoczęciem wsparcia. Osoby korzystającej z wyjątku nie wlicza się do minimum 3 osób wymaganego przy wpisie do Rejestru realizatorów.</w:t>
      </w:r>
    </w:p>
    <w:p w14:paraId="3B69CC9D" w14:textId="77777777" w:rsidR="00785D1F" w:rsidRDefault="00000000" w:rsidP="00E735E2">
      <w:pPr>
        <w:pStyle w:val="Listanumerowana"/>
        <w:keepLines/>
        <w:numPr>
          <w:ilvl w:val="0"/>
          <w:numId w:val="10"/>
        </w:numPr>
        <w:spacing w:after="0"/>
        <w:contextualSpacing w:val="0"/>
      </w:pPr>
      <w:r>
        <w:t>Nowy wyjątek kończy się 31 grudnia 2029 r. Dotychczasowy wyjątek dla osób kształcących się pozostaje bez zmian. Nadal obowiązują zakazy z art. 88, w tym zakaz bycia asystentem własnego rodzica.</w:t>
      </w:r>
    </w:p>
    <w:sectPr w:rsidR="00785D1F">
      <w:pgSz w:w="11906" w:h="16838"/>
      <w:pgMar w:top="576" w:right="1138" w:bottom="576" w:left="1138" w:header="144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4D7A7A" w14:textId="77777777" w:rsidR="00FC5940" w:rsidRDefault="00FC5940">
      <w:pPr>
        <w:spacing w:after="0" w:line="240" w:lineRule="auto"/>
      </w:pPr>
      <w:r>
        <w:separator/>
      </w:r>
    </w:p>
  </w:endnote>
  <w:endnote w:type="continuationSeparator" w:id="0">
    <w:p w14:paraId="1243DB58" w14:textId="77777777" w:rsidR="00FC5940" w:rsidRDefault="00FC59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B00FA" w14:textId="77777777" w:rsidR="00FC5940" w:rsidRDefault="00FC5940">
      <w:pPr>
        <w:spacing w:after="0" w:line="240" w:lineRule="auto"/>
      </w:pPr>
      <w:r>
        <w:separator/>
      </w:r>
    </w:p>
  </w:footnote>
  <w:footnote w:type="continuationSeparator" w:id="0">
    <w:p w14:paraId="1FC79B9C" w14:textId="77777777" w:rsidR="00FC5940" w:rsidRDefault="00FC59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color w:val="000000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color w:val="000000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000000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color w:val="000000"/>
      </w:rPr>
    </w:lvl>
  </w:abstractNum>
  <w:abstractNum w:abstractNumId="9" w15:restartNumberingAfterBreak="0">
    <w:nsid w:val="142D24EB"/>
    <w:multiLevelType w:val="singleLevel"/>
    <w:tmpl w:val="2D9041CC"/>
    <w:lvl w:ilvl="0">
      <w:start w:val="1"/>
      <w:numFmt w:val="decimal"/>
      <w:pStyle w:val="Listapunktowana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10" w15:restartNumberingAfterBreak="0">
    <w:nsid w:val="20FA4582"/>
    <w:multiLevelType w:val="multilevel"/>
    <w:tmpl w:val="99E2FCCE"/>
    <w:lvl w:ilvl="0">
      <w:start w:val="1"/>
      <w:numFmt w:val="decimal"/>
      <w:lvlText w:val="%1."/>
      <w:lvlJc w:val="left"/>
      <w:pPr>
        <w:ind w:left="340" w:hanging="340"/>
      </w:pPr>
      <w:rPr>
        <w:rFonts w:ascii="Times New Roman" w:eastAsia="Times New Roman" w:hAnsi="Times New Roman" w:cs="Times New Roman"/>
        <w:color w:val="000000"/>
        <w:sz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146503539">
    <w:abstractNumId w:val="9"/>
    <w:lvlOverride w:ilvl="0">
      <w:startOverride w:val="1"/>
    </w:lvlOverride>
  </w:num>
  <w:num w:numId="2" w16cid:durableId="323050922">
    <w:abstractNumId w:val="9"/>
    <w:lvlOverride w:ilvl="0">
      <w:startOverride w:val="1"/>
    </w:lvlOverride>
  </w:num>
  <w:num w:numId="3" w16cid:durableId="1843280587">
    <w:abstractNumId w:val="9"/>
    <w:lvlOverride w:ilvl="0">
      <w:startOverride w:val="1"/>
    </w:lvlOverride>
  </w:num>
  <w:num w:numId="4" w16cid:durableId="1594969022">
    <w:abstractNumId w:val="9"/>
    <w:lvlOverride w:ilvl="0">
      <w:startOverride w:val="1"/>
    </w:lvlOverride>
  </w:num>
  <w:num w:numId="5" w16cid:durableId="1229222591">
    <w:abstractNumId w:val="9"/>
    <w:lvlOverride w:ilvl="0">
      <w:startOverride w:val="1"/>
    </w:lvlOverride>
  </w:num>
  <w:num w:numId="6" w16cid:durableId="1325013135">
    <w:abstractNumId w:val="10"/>
    <w:lvlOverride w:ilvl="0">
      <w:startOverride w:val="1"/>
    </w:lvlOverride>
  </w:num>
  <w:num w:numId="7" w16cid:durableId="1400051414">
    <w:abstractNumId w:val="10"/>
    <w:lvlOverride w:ilvl="0">
      <w:startOverride w:val="1"/>
    </w:lvlOverride>
  </w:num>
  <w:num w:numId="8" w16cid:durableId="312566819">
    <w:abstractNumId w:val="10"/>
    <w:lvlOverride w:ilvl="0">
      <w:startOverride w:val="1"/>
    </w:lvlOverride>
  </w:num>
  <w:num w:numId="9" w16cid:durableId="1561208223">
    <w:abstractNumId w:val="10"/>
    <w:lvlOverride w:ilvl="0">
      <w:startOverride w:val="1"/>
    </w:lvlOverride>
  </w:num>
  <w:num w:numId="10" w16cid:durableId="957108164">
    <w:abstractNumId w:val="1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D1F"/>
    <w:rsid w:val="0057728F"/>
    <w:rsid w:val="00785D1F"/>
    <w:rsid w:val="00E735E2"/>
    <w:rsid w:val="00FC5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1A136FE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360" w:lineRule="auto"/>
    </w:pPr>
    <w:rPr>
      <w:sz w:val="24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after="180"/>
      <w:outlineLvl w:val="0"/>
    </w:pPr>
    <w:rPr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40"/>
      <w:outlineLvl w:val="1"/>
    </w:pPr>
    <w:rPr>
      <w:b/>
      <w:bCs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outlineLvl w:val="2"/>
    </w:pPr>
    <w:rPr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outlineLvl w:val="3"/>
    </w:pPr>
    <w:rPr>
      <w:b/>
      <w:bCs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outlineLvl w:val="4"/>
    </w:p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outlineLvl w:val="5"/>
    </w:pPr>
    <w:rPr>
      <w:i/>
      <w:iCs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outlineLvl w:val="7"/>
    </w:pPr>
    <w:rPr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outlineLvl w:val="8"/>
    </w:pPr>
    <w:rPr>
      <w:i/>
      <w:iCs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18BF"/>
    <w:rPr>
      <w:rFonts w:ascii="Times New Roman" w:eastAsia="Times New Roman" w:hAnsi="Times New Roman" w:cs="Times New Roman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18BF"/>
    <w:rPr>
      <w:rFonts w:ascii="Times New Roman" w:eastAsia="Times New Roman" w:hAnsi="Times New Roman" w:cs="Times New Roman"/>
      <w:color w:val="000000"/>
    </w:rPr>
  </w:style>
  <w:style w:type="paragraph" w:styleId="Bezodstpw">
    <w:name w:val="No Spacing"/>
    <w:uiPriority w:val="1"/>
    <w:qFormat/>
    <w:rsid w:val="00FC693F"/>
    <w:pPr>
      <w:spacing w:after="100" w:line="360" w:lineRule="auto"/>
    </w:pPr>
    <w:rPr>
      <w:sz w:val="24"/>
      <w:lang w:val="pl-PL" w:eastAsia="pl-PL" w:bidi="pl-PL"/>
    </w:r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="Times New Roman" w:eastAsia="Times New Roman" w:hAnsi="Times New Roman" w:cs="Times New Roman"/>
      <w:b/>
      <w:bCs/>
      <w:color w:val="000000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="Times New Roman" w:eastAsia="Times New Roman" w:hAnsi="Times New Roman" w:cs="Times New Roman"/>
      <w:b/>
      <w:bCs/>
      <w:color w:val="000000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spacing w:after="180"/>
      <w:contextualSpacing/>
    </w:pPr>
    <w:rPr>
      <w:b/>
      <w:spacing w:val="5"/>
      <w:kern w:val="28"/>
      <w:sz w:val="28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="Times New Roman" w:eastAsia="Times New Roman" w:hAnsi="Times New Roman" w:cs="Times New Roman"/>
      <w:color w:val="000000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i/>
      <w:iCs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="Times New Roman" w:eastAsia="Times New Roman" w:hAnsi="Times New Roman" w:cs="Times New Roman"/>
      <w:i/>
      <w:iCs/>
      <w:color w:val="000000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  <w:rPr>
      <w:rFonts w:ascii="Times New Roman" w:eastAsia="Times New Roman" w:hAnsi="Times New Roman" w:cs="Times New Roman"/>
      <w:color w:val="000000"/>
    </w:rPr>
  </w:style>
  <w:style w:type="paragraph" w:styleId="Tekstpodstawowy2">
    <w:name w:val="Body Text 2"/>
    <w:basedOn w:val="Normalny"/>
    <w:link w:val="Tekstpodstawowy2Znak"/>
    <w:uiPriority w:val="99"/>
    <w:unhideWhenUsed/>
    <w:rsid w:val="00AA1D8D"/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  <w:rPr>
      <w:rFonts w:ascii="Times New Roman" w:eastAsia="Times New Roman" w:hAnsi="Times New Roman" w:cs="Times New Roman"/>
      <w:color w:val="000000"/>
    </w:rPr>
  </w:style>
  <w:style w:type="paragraph" w:styleId="Tekstpodstawowy3">
    <w:name w:val="Body Text 3"/>
    <w:basedOn w:val="Normalny"/>
    <w:link w:val="Tekstpodstawowy3Znak"/>
    <w:uiPriority w:val="99"/>
    <w:unhideWhenUsed/>
    <w:rsid w:val="00AA1D8D"/>
    <w:rPr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rFonts w:ascii="Times New Roman" w:eastAsia="Times New Roman" w:hAnsi="Times New Roman" w:cs="Times New Roman"/>
      <w:color w:val="000000"/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tabs>
        <w:tab w:val="num" w:pos="340"/>
      </w:tabs>
      <w:ind w:left="340" w:hanging="340"/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tabs>
        <w:tab w:val="num" w:pos="340"/>
      </w:tabs>
      <w:ind w:left="340" w:hanging="340"/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tabs>
        <w:tab w:val="num" w:pos="340"/>
      </w:tabs>
      <w:ind w:left="340" w:hanging="340"/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tabs>
        <w:tab w:val="num" w:pos="360"/>
      </w:tabs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tabs>
        <w:tab w:val="num" w:pos="360"/>
      </w:tabs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100" w:line="360" w:lineRule="auto"/>
    </w:pPr>
    <w:rPr>
      <w:sz w:val="24"/>
      <w:szCs w:val="20"/>
      <w:lang w:val="pl-PL" w:eastAsia="pl-PL" w:bidi="pl-PL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rFonts w:ascii="Times New Roman" w:eastAsia="Times New Roman" w:hAnsi="Times New Roman" w:cs="Times New Roman"/>
      <w:i/>
      <w:iCs/>
      <w:color w:val="000000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="Times New Roman" w:eastAsia="Times New Roman" w:hAnsi="Times New Roman" w:cs="Times New Roman"/>
      <w:b/>
      <w:bCs/>
      <w:i/>
      <w:iCs/>
      <w:color w:val="00000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="Times New Roman" w:eastAsia="Times New Roman" w:hAnsi="Times New Roman" w:cs="Times New Roman"/>
      <w:color w:val="00000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="Times New Roman" w:eastAsia="Times New Roman" w:hAnsi="Times New Roman" w:cs="Times New Roman"/>
      <w:i/>
      <w:iCs/>
      <w:color w:val="00000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="Times New Roman" w:eastAsia="Times New Roman" w:hAnsi="Times New Roman" w:cs="Times New Roman"/>
      <w:i/>
      <w:iCs/>
      <w:color w:val="00000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="Times New Roman" w:eastAsia="Times New Roman" w:hAnsi="Times New Roman" w:cs="Times New Roman"/>
      <w:i/>
      <w:iCs/>
      <w:color w:val="000000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rFonts w:ascii="Times New Roman" w:eastAsia="Times New Roman" w:hAnsi="Times New Roman" w:cs="Times New Roman"/>
      <w:b/>
      <w:bCs/>
      <w:color w:val="000000"/>
    </w:rPr>
  </w:style>
  <w:style w:type="character" w:styleId="Uwydatnienie">
    <w:name w:val="Emphasis"/>
    <w:basedOn w:val="Domylnaczcionkaakapitu"/>
    <w:uiPriority w:val="20"/>
    <w:qFormat/>
    <w:rsid w:val="00FC693F"/>
    <w:rPr>
      <w:rFonts w:ascii="Times New Roman" w:eastAsia="Times New Roman" w:hAnsi="Times New Roman" w:cs="Times New Roman"/>
      <w:i/>
      <w:iCs/>
      <w:color w:val="00000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ind w:left="936" w:right="936"/>
    </w:pPr>
    <w:rPr>
      <w:b/>
      <w:bCs/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rFonts w:ascii="Times New Roman" w:eastAsia="Times New Roman" w:hAnsi="Times New Roman" w:cs="Times New Roman"/>
      <w:b/>
      <w:bCs/>
      <w:i/>
      <w:iCs/>
      <w:color w:val="000000"/>
    </w:rPr>
  </w:style>
  <w:style w:type="character" w:styleId="Wyrnieniedelikatne">
    <w:name w:val="Subtle Emphasis"/>
    <w:basedOn w:val="Domylnaczcionkaakapitu"/>
    <w:uiPriority w:val="19"/>
    <w:qFormat/>
    <w:rsid w:val="00FC693F"/>
    <w:rPr>
      <w:rFonts w:ascii="Times New Roman" w:eastAsia="Times New Roman" w:hAnsi="Times New Roman" w:cs="Times New Roman"/>
      <w:i/>
      <w:iCs/>
      <w:color w:val="000000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rFonts w:ascii="Times New Roman" w:eastAsia="Times New Roman" w:hAnsi="Times New Roman" w:cs="Times New Roman"/>
      <w:b/>
      <w:bCs/>
      <w:i/>
      <w:iCs/>
      <w:color w:val="000000"/>
    </w:rPr>
  </w:style>
  <w:style w:type="character" w:styleId="Odwoaniedelikatne">
    <w:name w:val="Subtle Reference"/>
    <w:basedOn w:val="Domylnaczcionkaakapitu"/>
    <w:uiPriority w:val="31"/>
    <w:qFormat/>
    <w:rsid w:val="00FC693F"/>
    <w:rPr>
      <w:rFonts w:ascii="Times New Roman" w:eastAsia="Times New Roman" w:hAnsi="Times New Roman" w:cs="Times New Roman"/>
      <w:smallCaps/>
      <w:color w:val="000000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rFonts w:ascii="Times New Roman" w:eastAsia="Times New Roman" w:hAnsi="Times New Roman" w:cs="Times New Roman"/>
      <w:b/>
      <w:bCs/>
      <w:smallCaps/>
      <w:color w:val="000000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rFonts w:ascii="Times New Roman" w:eastAsia="Times New Roman" w:hAnsi="Times New Roman" w:cs="Times New Roman"/>
      <w:b/>
      <w:bCs/>
      <w:smallCaps/>
      <w:color w:val="000000"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spacing w:after="100"/>
      <w:outlineLvl w:val="9"/>
    </w:pPr>
    <w:rPr>
      <w:sz w:val="24"/>
    </w:r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Times New Roman" w:eastAsia="Times New Roman" w:hAnsi="Times New Roman" w:cs="Times New Roman"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Times New Roman" w:eastAsia="Times New Roman" w:hAnsi="Times New Roman" w:cs="Times New Roman"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Times New Roman" w:eastAsia="Times New Roman" w:hAnsi="Times New Roman" w:cs="Times New Roman"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Times New Roman" w:eastAsia="Times New Roman" w:hAnsi="Times New Roman" w:cs="Times New Roman"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Times New Roman" w:eastAsia="Times New Roman" w:hAnsi="Times New Roman" w:cs="Times New Roman"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Times New Roman" w:eastAsia="Times New Roman" w:hAnsi="Times New Roman" w:cs="Times New Roman"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Times New Roman" w:eastAsia="Times New Roman" w:hAnsi="Times New Roman" w:cs="Times New Roman"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Times New Roman" w:eastAsia="Times New Roman" w:hAnsi="Times New Roman" w:cs="Times New Roman"/>
        <w:color w:val="000000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Times New Roman" w:eastAsia="Times New Roman" w:hAnsi="Times New Roman" w:cs="Times New Roman"/>
        <w:color w:val="000000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Times New Roman" w:eastAsia="Times New Roman" w:hAnsi="Times New Roman" w:cs="Times New Roman"/>
        <w:color w:val="000000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Times New Roman" w:eastAsia="Times New Roman" w:hAnsi="Times New Roman" w:cs="Times New Roman"/>
        <w:color w:val="000000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Times New Roman" w:eastAsia="Times New Roman" w:hAnsi="Times New Roman" w:cs="Times New Roman"/>
        <w:color w:val="000000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Times New Roman" w:eastAsia="Times New Roman" w:hAnsi="Times New Roman" w:cs="Times New Roman"/>
        <w:color w:val="000000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Times New Roman" w:eastAsia="Times New Roman" w:hAnsi="Times New Roman" w:cs="Times New Roman"/>
        <w:color w:val="000000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rFonts w:ascii="Times New Roman" w:eastAsia="Times New Roman" w:hAnsi="Times New Roman" w:cs="Times New Roman"/>
        <w:color w:val="000000"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rFonts w:ascii="Times New Roman" w:eastAsia="Times New Roman" w:hAnsi="Times New Roman" w:cs="Times New Roman"/>
        <w:color w:val="000000"/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rFonts w:ascii="Times New Roman" w:eastAsia="Times New Roman" w:hAnsi="Times New Roman" w:cs="Times New Roman"/>
        <w:color w:val="000000"/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rFonts w:ascii="Times New Roman" w:eastAsia="Times New Roman" w:hAnsi="Times New Roman" w:cs="Times New Roman"/>
        <w:color w:val="000000"/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rFonts w:ascii="Times New Roman" w:eastAsia="Times New Roman" w:hAnsi="Times New Roman" w:cs="Times New Roman"/>
        <w:color w:val="000000"/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rFonts w:ascii="Times New Roman" w:eastAsia="Times New Roman" w:hAnsi="Times New Roman" w:cs="Times New Roman"/>
        <w:color w:val="000000"/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rFonts w:ascii="Times New Roman" w:eastAsia="Times New Roman" w:hAnsi="Times New Roman" w:cs="Times New Roman"/>
        <w:color w:val="000000"/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rFonts w:ascii="Times New Roman" w:eastAsia="Times New Roman" w:hAnsi="Times New Roman" w:cs="Times New Roman"/>
        <w:b/>
        <w:bCs/>
        <w:color w:val="000000"/>
      </w:r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rFonts w:ascii="Times New Roman" w:eastAsia="Times New Roman" w:hAnsi="Times New Roman" w:cs="Times New Roman"/>
        <w:b/>
        <w:bCs/>
        <w:color w:val="000000"/>
      </w:r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rFonts w:ascii="Times New Roman" w:eastAsia="Times New Roman" w:hAnsi="Times New Roman" w:cs="Times New Roman"/>
        <w:b/>
        <w:bCs/>
        <w:color w:val="000000"/>
      </w:r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rFonts w:ascii="Times New Roman" w:eastAsia="Times New Roman" w:hAnsi="Times New Roman" w:cs="Times New Roman"/>
        <w:b/>
        <w:bCs/>
        <w:color w:val="000000"/>
      </w:r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rFonts w:ascii="Times New Roman" w:eastAsia="Times New Roman" w:hAnsi="Times New Roman" w:cs="Times New Roman"/>
        <w:b/>
        <w:bCs/>
        <w:color w:val="000000"/>
      </w:r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rFonts w:ascii="Times New Roman" w:eastAsia="Times New Roman" w:hAnsi="Times New Roman" w:cs="Times New Roman"/>
        <w:b/>
        <w:bCs/>
        <w:color w:val="000000"/>
      </w:r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rFonts w:ascii="Times New Roman" w:eastAsia="Times New Roman" w:hAnsi="Times New Roman" w:cs="Times New Roman"/>
        <w:b/>
        <w:bCs/>
        <w:color w:val="000000"/>
      </w:r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rFonts w:ascii="Times New Roman" w:eastAsia="Times New Roman" w:hAnsi="Times New Roman" w:cs="Times New Roman"/>
        <w:b/>
        <w:bCs/>
        <w:color w:val="000000"/>
      </w:rPr>
      <w:tblPr/>
      <w:tcPr>
        <w:shd w:val="clear" w:color="auto" w:fill="E6E6E6" w:themeFill="text1" w:themeFillTint="19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Times New Roman" w:eastAsia="Times New Roman" w:hAnsi="Times New Roman"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rFonts w:ascii="Times New Roman" w:eastAsia="Times New Roman" w:hAnsi="Times New Roman" w:cs="Times New Roman"/>
        <w:b/>
        <w:bCs/>
        <w:color w:val="000000"/>
      </w:rPr>
      <w:tblPr/>
      <w:tcPr>
        <w:shd w:val="clear" w:color="auto" w:fill="EDF2F8" w:themeFill="accent1" w:themeFillTint="19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Times New Roman" w:eastAsia="Times New Roman" w:hAnsi="Times New Roman"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rFonts w:ascii="Times New Roman" w:eastAsia="Times New Roman" w:hAnsi="Times New Roman" w:cs="Times New Roman"/>
        <w:b/>
        <w:bCs/>
        <w:color w:val="000000"/>
      </w:rPr>
      <w:tblPr/>
      <w:tcPr>
        <w:shd w:val="clear" w:color="auto" w:fill="F8EDED" w:themeFill="accent2" w:themeFillTint="19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Times New Roman" w:eastAsia="Times New Roman" w:hAnsi="Times New Roman"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rFonts w:ascii="Times New Roman" w:eastAsia="Times New Roman" w:hAnsi="Times New Roman" w:cs="Times New Roman"/>
        <w:b/>
        <w:bCs/>
        <w:color w:val="000000"/>
      </w:rPr>
      <w:tblPr/>
      <w:tcPr>
        <w:shd w:val="clear" w:color="auto" w:fill="F5F8EE" w:themeFill="accent3" w:themeFillTint="19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Times New Roman" w:eastAsia="Times New Roman" w:hAnsi="Times New Roman"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rFonts w:ascii="Times New Roman" w:eastAsia="Times New Roman" w:hAnsi="Times New Roman" w:cs="Times New Roman"/>
        <w:b/>
        <w:bCs/>
        <w:color w:val="000000"/>
      </w:rPr>
      <w:tblPr/>
      <w:tcPr>
        <w:shd w:val="clear" w:color="auto" w:fill="F2EFF6" w:themeFill="accent4" w:themeFillTint="19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Times New Roman" w:eastAsia="Times New Roman" w:hAnsi="Times New Roman"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rFonts w:ascii="Times New Roman" w:eastAsia="Times New Roman" w:hAnsi="Times New Roman" w:cs="Times New Roman"/>
        <w:b/>
        <w:bCs/>
        <w:color w:val="000000"/>
      </w:rPr>
      <w:tblPr/>
      <w:tcPr>
        <w:shd w:val="clear" w:color="auto" w:fill="EDF6F9" w:themeFill="accent5" w:themeFillTint="19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Times New Roman" w:eastAsia="Times New Roman" w:hAnsi="Times New Roman"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rFonts w:ascii="Times New Roman" w:eastAsia="Times New Roman" w:hAnsi="Times New Roman" w:cs="Times New Roman"/>
        <w:b/>
        <w:bCs/>
        <w:color w:val="000000"/>
      </w:rPr>
      <w:tblPr/>
      <w:tcPr>
        <w:shd w:val="clear" w:color="auto" w:fill="FEF4EC" w:themeFill="accent6" w:themeFillTint="19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Times New Roman" w:eastAsia="Times New Roman" w:hAnsi="Times New Roman"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rFonts w:ascii="Times New Roman" w:eastAsia="Times New Roman" w:hAnsi="Times New Roman" w:cs="Times New Roman"/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rFonts w:ascii="Times New Roman" w:eastAsia="Times New Roman" w:hAnsi="Times New Roman" w:cs="Times New Roman"/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rFonts w:ascii="Times New Roman" w:eastAsia="Times New Roman" w:hAnsi="Times New Roman" w:cs="Times New Roman"/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rFonts w:ascii="Times New Roman" w:eastAsia="Times New Roman" w:hAnsi="Times New Roman" w:cs="Times New Roman"/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rFonts w:ascii="Times New Roman" w:eastAsia="Times New Roman" w:hAnsi="Times New Roman" w:cs="Times New Roman"/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rFonts w:ascii="Times New Roman" w:eastAsia="Times New Roman" w:hAnsi="Times New Roman" w:cs="Times New Roman"/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rFonts w:ascii="Times New Roman" w:eastAsia="Times New Roman" w:hAnsi="Times New Roman" w:cs="Times New Roman"/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rFonts w:ascii="Times New Roman" w:eastAsia="Times New Roman" w:hAnsi="Times New Roman" w:cs="Times New Roman"/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rFonts w:ascii="Times New Roman" w:eastAsia="Times New Roman" w:hAnsi="Times New Roman" w:cs="Times New Roman"/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rFonts w:ascii="Times New Roman" w:eastAsia="Times New Roman" w:hAnsi="Times New Roman" w:cs="Times New Roman"/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rFonts w:ascii="Times New Roman" w:eastAsia="Times New Roman" w:hAnsi="Times New Roman" w:cs="Times New Roman"/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rFonts w:ascii="Times New Roman" w:eastAsia="Times New Roman" w:hAnsi="Times New Roman" w:cs="Times New Roman"/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rFonts w:ascii="Times New Roman" w:eastAsia="Times New Roman" w:hAnsi="Times New Roman" w:cs="Times New Roman"/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rFonts w:ascii="Times New Roman" w:eastAsia="Times New Roman" w:hAnsi="Times New Roman" w:cs="Times New Roman"/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rFonts w:ascii="Times New Roman" w:eastAsia="Times New Roman" w:hAnsi="Times New Roman" w:cs="Times New Roman"/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rFonts w:ascii="Times New Roman" w:eastAsia="Times New Roman" w:hAnsi="Times New Roman" w:cs="Times New Roman"/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rFonts w:ascii="Times New Roman" w:eastAsia="Times New Roman" w:hAnsi="Times New Roman" w:cs="Times New Roman"/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rFonts w:ascii="Times New Roman" w:eastAsia="Times New Roman" w:hAnsi="Times New Roman" w:cs="Times New Roman"/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rFonts w:ascii="Times New Roman" w:eastAsia="Times New Roman" w:hAnsi="Times New Roman" w:cs="Times New Roman"/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rFonts w:ascii="Times New Roman" w:eastAsia="Times New Roman" w:hAnsi="Times New Roman" w:cs="Times New Roman"/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rFonts w:ascii="Times New Roman" w:eastAsia="Times New Roman" w:hAnsi="Times New Roman" w:cs="Times New Roman"/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rFonts w:ascii="Times New Roman" w:eastAsia="Times New Roman" w:hAnsi="Times New Roman" w:cs="Times New Roman"/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rFonts w:ascii="Times New Roman" w:eastAsia="Times New Roman" w:hAnsi="Times New Roman" w:cs="Times New Roman"/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rFonts w:ascii="Times New Roman" w:eastAsia="Times New Roman" w:hAnsi="Times New Roman" w:cs="Times New Roman"/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rFonts w:ascii="Times New Roman" w:eastAsia="Times New Roman" w:hAnsi="Times New Roman" w:cs="Times New Roman"/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rFonts w:ascii="Times New Roman" w:eastAsia="Times New Roman" w:hAnsi="Times New Roman" w:cs="Times New Roman"/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rFonts w:ascii="Times New Roman" w:eastAsia="Times New Roman" w:hAnsi="Times New Roman" w:cs="Times New Roman"/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rFonts w:ascii="Times New Roman" w:eastAsia="Times New Roman" w:hAnsi="Times New Roman" w:cs="Times New Roman"/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rFonts w:ascii="Times New Roman" w:eastAsia="Times New Roman" w:hAnsi="Times New Roman" w:cs="Times New Roman"/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rFonts w:ascii="Times New Roman" w:eastAsia="Times New Roman" w:hAnsi="Times New Roman" w:cs="Times New Roman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rFonts w:ascii="Times New Roman" w:eastAsia="Times New Roman" w:hAnsi="Times New Roman" w:cs="Times New Roman"/>
        <w:color w:val="000000"/>
      </w:rPr>
    </w:tblStylePr>
    <w:tblStylePr w:type="nwCell">
      <w:rPr>
        <w:rFonts w:ascii="Times New Roman" w:eastAsia="Times New Roman" w:hAnsi="Times New Roman" w:cs="Times New Roman"/>
        <w:color w:val="000000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rFonts w:ascii="Times New Roman" w:eastAsia="Times New Roman" w:hAnsi="Times New Roman" w:cs="Times New Roman"/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rFonts w:ascii="Times New Roman" w:eastAsia="Times New Roman" w:hAnsi="Times New Roman" w:cs="Times New Roman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rFonts w:ascii="Times New Roman" w:eastAsia="Times New Roman" w:hAnsi="Times New Roman" w:cs="Times New Roman"/>
        <w:color w:val="000000"/>
      </w:rPr>
    </w:tblStylePr>
    <w:tblStylePr w:type="nwCell">
      <w:rPr>
        <w:rFonts w:ascii="Times New Roman" w:eastAsia="Times New Roman" w:hAnsi="Times New Roman" w:cs="Times New Roman"/>
        <w:color w:val="000000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rFonts w:ascii="Times New Roman" w:eastAsia="Times New Roman" w:hAnsi="Times New Roman" w:cs="Times New Roman"/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rFonts w:ascii="Times New Roman" w:eastAsia="Times New Roman" w:hAnsi="Times New Roman" w:cs="Times New Roman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rFonts w:ascii="Times New Roman" w:eastAsia="Times New Roman" w:hAnsi="Times New Roman" w:cs="Times New Roman"/>
        <w:color w:val="000000"/>
      </w:rPr>
    </w:tblStylePr>
    <w:tblStylePr w:type="nwCell">
      <w:rPr>
        <w:rFonts w:ascii="Times New Roman" w:eastAsia="Times New Roman" w:hAnsi="Times New Roman" w:cs="Times New Roman"/>
        <w:color w:val="000000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rFonts w:ascii="Times New Roman" w:eastAsia="Times New Roman" w:hAnsi="Times New Roman" w:cs="Times New Roman"/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rFonts w:ascii="Times New Roman" w:eastAsia="Times New Roman" w:hAnsi="Times New Roman" w:cs="Times New Roman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rFonts w:ascii="Times New Roman" w:eastAsia="Times New Roman" w:hAnsi="Times New Roman" w:cs="Times New Roman"/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rFonts w:ascii="Times New Roman" w:eastAsia="Times New Roman" w:hAnsi="Times New Roman" w:cs="Times New Roman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rFonts w:ascii="Times New Roman" w:eastAsia="Times New Roman" w:hAnsi="Times New Roman" w:cs="Times New Roman"/>
        <w:color w:val="000000"/>
      </w:rPr>
    </w:tblStylePr>
    <w:tblStylePr w:type="nwCell">
      <w:rPr>
        <w:rFonts w:ascii="Times New Roman" w:eastAsia="Times New Roman" w:hAnsi="Times New Roman" w:cs="Times New Roman"/>
        <w:color w:val="000000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rFonts w:ascii="Times New Roman" w:eastAsia="Times New Roman" w:hAnsi="Times New Roman" w:cs="Times New Roman"/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rFonts w:ascii="Times New Roman" w:eastAsia="Times New Roman" w:hAnsi="Times New Roman" w:cs="Times New Roman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rFonts w:ascii="Times New Roman" w:eastAsia="Times New Roman" w:hAnsi="Times New Roman" w:cs="Times New Roman"/>
        <w:color w:val="000000"/>
      </w:rPr>
    </w:tblStylePr>
    <w:tblStylePr w:type="nwCell">
      <w:rPr>
        <w:rFonts w:ascii="Times New Roman" w:eastAsia="Times New Roman" w:hAnsi="Times New Roman" w:cs="Times New Roman"/>
        <w:color w:val="000000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rFonts w:ascii="Times New Roman" w:eastAsia="Times New Roman" w:hAnsi="Times New Roman" w:cs="Times New Roman"/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rFonts w:ascii="Times New Roman" w:eastAsia="Times New Roman" w:hAnsi="Times New Roman" w:cs="Times New Roman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rFonts w:ascii="Times New Roman" w:eastAsia="Times New Roman" w:hAnsi="Times New Roman" w:cs="Times New Roman"/>
        <w:color w:val="000000"/>
      </w:rPr>
    </w:tblStylePr>
    <w:tblStylePr w:type="nwCell">
      <w:rPr>
        <w:rFonts w:ascii="Times New Roman" w:eastAsia="Times New Roman" w:hAnsi="Times New Roman" w:cs="Times New Roman"/>
        <w:color w:val="000000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rFonts w:ascii="Times New Roman" w:eastAsia="Times New Roman" w:hAnsi="Times New Roman" w:cs="Times New Roman"/>
        <w:b/>
        <w:bCs/>
        <w:color w:val="000000"/>
      </w:rPr>
      <w:tblPr/>
      <w:tcPr>
        <w:shd w:val="clear" w:color="auto" w:fill="999999" w:themeFill="text1" w:themeFillTint="66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shd w:val="clear" w:color="auto" w:fill="999999" w:themeFill="text1" w:themeFillTint="66"/>
      </w:tcPr>
    </w:tblStylePr>
    <w:tblStylePr w:type="firstCol">
      <w:rPr>
        <w:rFonts w:ascii="Times New Roman" w:eastAsia="Times New Roman" w:hAnsi="Times New Roman" w:cs="Times New Roman"/>
        <w:color w:val="000000"/>
      </w:rPr>
      <w:tblPr/>
      <w:tcPr>
        <w:shd w:val="clear" w:color="auto" w:fill="000000" w:themeFill="text1" w:themeFillShade="BF"/>
      </w:tcPr>
    </w:tblStylePr>
    <w:tblStylePr w:type="lastCol">
      <w:rPr>
        <w:rFonts w:ascii="Times New Roman" w:eastAsia="Times New Roman" w:hAnsi="Times New Roman" w:cs="Times New Roman"/>
        <w:color w:val="000000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rFonts w:ascii="Times New Roman" w:eastAsia="Times New Roman" w:hAnsi="Times New Roman" w:cs="Times New Roman"/>
        <w:b/>
        <w:bCs/>
        <w:color w:val="000000"/>
      </w:rPr>
      <w:tblPr/>
      <w:tcPr>
        <w:shd w:val="clear" w:color="auto" w:fill="B8CCE4" w:themeFill="accent1" w:themeFillTint="66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shd w:val="clear" w:color="auto" w:fill="B8CCE4" w:themeFill="accent1" w:themeFillTint="66"/>
      </w:tcPr>
    </w:tblStylePr>
    <w:tblStylePr w:type="firstCol">
      <w:rPr>
        <w:rFonts w:ascii="Times New Roman" w:eastAsia="Times New Roman" w:hAnsi="Times New Roman" w:cs="Times New Roman"/>
        <w:color w:val="000000"/>
      </w:rPr>
      <w:tblPr/>
      <w:tcPr>
        <w:shd w:val="clear" w:color="auto" w:fill="365F91" w:themeFill="accent1" w:themeFillShade="BF"/>
      </w:tcPr>
    </w:tblStylePr>
    <w:tblStylePr w:type="lastCol">
      <w:rPr>
        <w:rFonts w:ascii="Times New Roman" w:eastAsia="Times New Roman" w:hAnsi="Times New Roman" w:cs="Times New Roman"/>
        <w:color w:val="000000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rFonts w:ascii="Times New Roman" w:eastAsia="Times New Roman" w:hAnsi="Times New Roman" w:cs="Times New Roman"/>
        <w:b/>
        <w:bCs/>
        <w:color w:val="000000"/>
      </w:rPr>
      <w:tblPr/>
      <w:tcPr>
        <w:shd w:val="clear" w:color="auto" w:fill="E5B8B7" w:themeFill="accent2" w:themeFillTint="66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shd w:val="clear" w:color="auto" w:fill="E5B8B7" w:themeFill="accent2" w:themeFillTint="66"/>
      </w:tcPr>
    </w:tblStylePr>
    <w:tblStylePr w:type="firstCol">
      <w:rPr>
        <w:rFonts w:ascii="Times New Roman" w:eastAsia="Times New Roman" w:hAnsi="Times New Roman" w:cs="Times New Roman"/>
        <w:color w:val="000000"/>
      </w:rPr>
      <w:tblPr/>
      <w:tcPr>
        <w:shd w:val="clear" w:color="auto" w:fill="943634" w:themeFill="accent2" w:themeFillShade="BF"/>
      </w:tcPr>
    </w:tblStylePr>
    <w:tblStylePr w:type="lastCol">
      <w:rPr>
        <w:rFonts w:ascii="Times New Roman" w:eastAsia="Times New Roman" w:hAnsi="Times New Roman" w:cs="Times New Roman"/>
        <w:color w:val="000000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rFonts w:ascii="Times New Roman" w:eastAsia="Times New Roman" w:hAnsi="Times New Roman" w:cs="Times New Roman"/>
        <w:b/>
        <w:bCs/>
        <w:color w:val="000000"/>
      </w:rPr>
      <w:tblPr/>
      <w:tcPr>
        <w:shd w:val="clear" w:color="auto" w:fill="D6E3BC" w:themeFill="accent3" w:themeFillTint="66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shd w:val="clear" w:color="auto" w:fill="D6E3BC" w:themeFill="accent3" w:themeFillTint="66"/>
      </w:tcPr>
    </w:tblStylePr>
    <w:tblStylePr w:type="firstCol">
      <w:rPr>
        <w:rFonts w:ascii="Times New Roman" w:eastAsia="Times New Roman" w:hAnsi="Times New Roman" w:cs="Times New Roman"/>
        <w:color w:val="000000"/>
      </w:rPr>
      <w:tblPr/>
      <w:tcPr>
        <w:shd w:val="clear" w:color="auto" w:fill="76923C" w:themeFill="accent3" w:themeFillShade="BF"/>
      </w:tcPr>
    </w:tblStylePr>
    <w:tblStylePr w:type="lastCol">
      <w:rPr>
        <w:rFonts w:ascii="Times New Roman" w:eastAsia="Times New Roman" w:hAnsi="Times New Roman" w:cs="Times New Roman"/>
        <w:color w:val="000000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rFonts w:ascii="Times New Roman" w:eastAsia="Times New Roman" w:hAnsi="Times New Roman" w:cs="Times New Roman"/>
        <w:b/>
        <w:bCs/>
        <w:color w:val="000000"/>
      </w:rPr>
      <w:tblPr/>
      <w:tcPr>
        <w:shd w:val="clear" w:color="auto" w:fill="CCC0D9" w:themeFill="accent4" w:themeFillTint="66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shd w:val="clear" w:color="auto" w:fill="CCC0D9" w:themeFill="accent4" w:themeFillTint="66"/>
      </w:tcPr>
    </w:tblStylePr>
    <w:tblStylePr w:type="firstCol">
      <w:rPr>
        <w:rFonts w:ascii="Times New Roman" w:eastAsia="Times New Roman" w:hAnsi="Times New Roman" w:cs="Times New Roman"/>
        <w:color w:val="000000"/>
      </w:rPr>
      <w:tblPr/>
      <w:tcPr>
        <w:shd w:val="clear" w:color="auto" w:fill="5F497A" w:themeFill="accent4" w:themeFillShade="BF"/>
      </w:tcPr>
    </w:tblStylePr>
    <w:tblStylePr w:type="lastCol">
      <w:rPr>
        <w:rFonts w:ascii="Times New Roman" w:eastAsia="Times New Roman" w:hAnsi="Times New Roman" w:cs="Times New Roman"/>
        <w:color w:val="000000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rFonts w:ascii="Times New Roman" w:eastAsia="Times New Roman" w:hAnsi="Times New Roman" w:cs="Times New Roman"/>
        <w:b/>
        <w:bCs/>
        <w:color w:val="000000"/>
      </w:rPr>
      <w:tblPr/>
      <w:tcPr>
        <w:shd w:val="clear" w:color="auto" w:fill="B6DDE8" w:themeFill="accent5" w:themeFillTint="66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shd w:val="clear" w:color="auto" w:fill="B6DDE8" w:themeFill="accent5" w:themeFillTint="66"/>
      </w:tcPr>
    </w:tblStylePr>
    <w:tblStylePr w:type="firstCol">
      <w:rPr>
        <w:rFonts w:ascii="Times New Roman" w:eastAsia="Times New Roman" w:hAnsi="Times New Roman" w:cs="Times New Roman"/>
        <w:color w:val="000000"/>
      </w:rPr>
      <w:tblPr/>
      <w:tcPr>
        <w:shd w:val="clear" w:color="auto" w:fill="31849B" w:themeFill="accent5" w:themeFillShade="BF"/>
      </w:tcPr>
    </w:tblStylePr>
    <w:tblStylePr w:type="lastCol">
      <w:rPr>
        <w:rFonts w:ascii="Times New Roman" w:eastAsia="Times New Roman" w:hAnsi="Times New Roman" w:cs="Times New Roman"/>
        <w:color w:val="000000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rFonts w:ascii="Times New Roman" w:eastAsia="Times New Roman" w:hAnsi="Times New Roman" w:cs="Times New Roman"/>
        <w:b/>
        <w:bCs/>
        <w:color w:val="000000"/>
      </w:rPr>
      <w:tblPr/>
      <w:tcPr>
        <w:shd w:val="clear" w:color="auto" w:fill="FBD4B4" w:themeFill="accent6" w:themeFillTint="66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shd w:val="clear" w:color="auto" w:fill="FBD4B4" w:themeFill="accent6" w:themeFillTint="66"/>
      </w:tcPr>
    </w:tblStylePr>
    <w:tblStylePr w:type="firstCol">
      <w:rPr>
        <w:rFonts w:ascii="Times New Roman" w:eastAsia="Times New Roman" w:hAnsi="Times New Roman" w:cs="Times New Roman"/>
        <w:color w:val="000000"/>
      </w:rPr>
      <w:tblPr/>
      <w:tcPr>
        <w:shd w:val="clear" w:color="auto" w:fill="E36C0A" w:themeFill="accent6" w:themeFillShade="BF"/>
      </w:tcPr>
    </w:tblStylePr>
    <w:tblStylePr w:type="lastCol">
      <w:rPr>
        <w:rFonts w:ascii="Times New Roman" w:eastAsia="Times New Roman" w:hAnsi="Times New Roman" w:cs="Times New Roman"/>
        <w:color w:val="000000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  <a:font script="Jpan" typeface="Times New Roman"/>
        <a:font script="Hang" typeface="Times New Roman"/>
        <a:font script="Hans" typeface="Times New Roman"/>
        <a:font script="Hant" typeface="Times New Roman"/>
        <a:font script="Arab" typeface="Times New Roman"/>
        <a:font script="Hebr" typeface="Times New Roman"/>
        <a:font script="Thai" typeface="Times New Roman"/>
        <a:font script="Ethi" typeface="Times New Roman"/>
        <a:font script="Beng" typeface="Times New Roman"/>
        <a:font script="Gujr" typeface="Times New Roman"/>
        <a:font script="Khmr" typeface="Times New Roman"/>
        <a:font script="Knda" typeface="Times New Roman"/>
        <a:font script="Guru" typeface="Times New Roman"/>
        <a:font script="Cans" typeface="Times New Roman"/>
        <a:font script="Cher" typeface="Times New Roman"/>
        <a:font script="Yiii" typeface="Times New Roman"/>
        <a:font script="Tibt" typeface="Times New Roman"/>
        <a:font script="Thaa" typeface="Times New Roman"/>
        <a:font script="Deva" typeface="Times New Roman"/>
        <a:font script="Telu" typeface="Times New Roman"/>
        <a:font script="Taml" typeface="Times New Roman"/>
        <a:font script="Syrc" typeface="Times New Roman"/>
        <a:font script="Orya" typeface="Times New Roman"/>
        <a:font script="Mlym" typeface="Times New Roman"/>
        <a:font script="Laoo" typeface="Times New Roman"/>
        <a:font script="Sinh" typeface="Times New Roman"/>
        <a:font script="Mong" typeface="Times New Roman"/>
        <a:font script="Viet" typeface="Times New Roman"/>
        <a:font script="Uigh" typeface="Times New Roman"/>
        <a:font script="Geor" typeface="Times New Roman"/>
      </a:majorFont>
      <a:minorFont>
        <a:latin typeface="Times New Roman"/>
        <a:ea typeface="Times New Roman"/>
        <a:cs typeface="Times New Roman"/>
        <a:font script="Jpan" typeface="Times New Roman"/>
        <a:font script="Hang" typeface="Times New Roman"/>
        <a:font script="Hans" typeface="Times New Roman"/>
        <a:font script="Hant" typeface="Times New Roman"/>
        <a:font script="Arab" typeface="Times New Roman"/>
        <a:font script="Hebr" typeface="Times New Roman"/>
        <a:font script="Thai" typeface="Times New Roman"/>
        <a:font script="Ethi" typeface="Times New Roman"/>
        <a:font script="Beng" typeface="Times New Roman"/>
        <a:font script="Gujr" typeface="Times New Roman"/>
        <a:font script="Khmr" typeface="Times New Roman"/>
        <a:font script="Knda" typeface="Times New Roman"/>
        <a:font script="Guru" typeface="Times New Roman"/>
        <a:font script="Cans" typeface="Times New Roman"/>
        <a:font script="Cher" typeface="Times New Roman"/>
        <a:font script="Yiii" typeface="Times New Roman"/>
        <a:font script="Tibt" typeface="Times New Roman"/>
        <a:font script="Thaa" typeface="Times New Roman"/>
        <a:font script="Deva" typeface="Times New Roman"/>
        <a:font script="Telu" typeface="Times New Roman"/>
        <a:font script="Taml" typeface="Times New Roman"/>
        <a:font script="Syrc" typeface="Times New Roman"/>
        <a:font script="Orya" typeface="Times New Roman"/>
        <a:font script="Mlym" typeface="Times New Roman"/>
        <a:font script="Laoo" typeface="Times New Roman"/>
        <a:font script="Sinh" typeface="Times New Roman"/>
        <a:font script="Mong" typeface="Times New Roman"/>
        <a:font script="Viet" typeface="Times New Roman"/>
        <a:font script="Uigh" typeface="Times New Roman"/>
        <a:font script="Geor"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1344</Words>
  <Characters>8067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9393</CharactersWithSpaces>
  <SharedDoc>false</SharedDoc>
  <HyperlinksChanged>false</HyperlinksChanged>
  <AppVersion>16.0000</AppVersion>
</Properties>
</file>

<file path=docProps/core.xml><?xml version="1.0" encoding="utf-8"?>
<ns0:coreProperties xmlns:ns0="http://schemas.openxmlformats.org/package/2006/metadata/core-properties" xmlns:ns1="http://purl.org/dc/terms/" xmlns:xsi="http://www.w3.org/2001/XMLSchema-instance">
  <ns0:lastModifiedBy/>
  <ns0:revision>1</ns0:revision>
  <ns1:created xsi:type="dcterms:W3CDTF">2026-10-06T04:58:00Z</ns1:created>
  <ns1:modified xsi:type="dcterms:W3CDTF">2026-10-06T05:03:00Z</ns1:modified>
</ns0:coreProperties>
</file>